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51B" w:rsidRDefault="00B9351B" w:rsidP="00B9351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Федотова В.</w:t>
      </w:r>
    </w:p>
    <w:p w:rsidR="00B9351B" w:rsidRDefault="00B9351B" w:rsidP="00B9351B">
      <w:pPr>
        <w:jc w:val="right"/>
        <w:rPr>
          <w:color w:val="000000"/>
          <w:sz w:val="28"/>
          <w:szCs w:val="28"/>
        </w:rPr>
      </w:pPr>
    </w:p>
    <w:p w:rsidR="00B9351B" w:rsidRPr="00E66291" w:rsidRDefault="00B9351B" w:rsidP="00B9351B">
      <w:pPr>
        <w:jc w:val="center"/>
        <w:rPr>
          <w:b/>
          <w:bCs/>
          <w:color w:val="000000"/>
          <w:sz w:val="28"/>
          <w:szCs w:val="28"/>
        </w:rPr>
      </w:pPr>
      <w:r w:rsidRPr="00E66291">
        <w:rPr>
          <w:b/>
          <w:bCs/>
          <w:color w:val="000000"/>
          <w:sz w:val="28"/>
          <w:szCs w:val="28"/>
        </w:rPr>
        <w:t>Адаптация студентов из Индии и Арабских стран к образовательному пространству российского ВУЗа в связи с принадлежностью к культуре</w:t>
      </w:r>
    </w:p>
    <w:p w:rsidR="00B9351B" w:rsidRDefault="00B9351B" w:rsidP="00B9351B">
      <w:pPr>
        <w:jc w:val="center"/>
        <w:rPr>
          <w:color w:val="000000"/>
          <w:sz w:val="28"/>
          <w:szCs w:val="28"/>
        </w:rPr>
      </w:pPr>
    </w:p>
    <w:p w:rsidR="00AA5F67" w:rsidRPr="00F6659A" w:rsidRDefault="00B9351B" w:rsidP="00F6659A">
      <w:pPr>
        <w:ind w:firstLine="708"/>
        <w:jc w:val="both"/>
        <w:rPr>
          <w:color w:val="000000"/>
          <w:sz w:val="28"/>
          <w:szCs w:val="28"/>
        </w:rPr>
      </w:pPr>
      <w:r w:rsidRPr="00833225">
        <w:rPr>
          <w:color w:val="000000"/>
          <w:sz w:val="28"/>
          <w:szCs w:val="28"/>
        </w:rPr>
        <w:t xml:space="preserve">В докладе продемонстрирована роль культурного фактора в формировании адаптационных механизмов иностранных студентов, обучающихся в российских ВУЗах. Было проведено комплексное социально–психологическое исследование, включающее качественные и количественные методики. Результаты исследования вносят вклад в выявление </w:t>
      </w:r>
      <w:proofErr w:type="spellStart"/>
      <w:r w:rsidRPr="00833225">
        <w:rPr>
          <w:color w:val="000000"/>
          <w:sz w:val="28"/>
          <w:szCs w:val="28"/>
        </w:rPr>
        <w:t>копинг</w:t>
      </w:r>
      <w:proofErr w:type="spellEnd"/>
      <w:r w:rsidRPr="00833225">
        <w:rPr>
          <w:color w:val="000000"/>
          <w:sz w:val="28"/>
          <w:szCs w:val="28"/>
        </w:rPr>
        <w:t xml:space="preserve">-стратегий, особенностей адаптации и </w:t>
      </w:r>
      <w:proofErr w:type="spellStart"/>
      <w:r w:rsidRPr="00833225">
        <w:rPr>
          <w:color w:val="000000"/>
          <w:sz w:val="28"/>
          <w:szCs w:val="28"/>
        </w:rPr>
        <w:t>антиципационных</w:t>
      </w:r>
      <w:proofErr w:type="spellEnd"/>
      <w:r w:rsidRPr="00833225">
        <w:rPr>
          <w:color w:val="000000"/>
          <w:sz w:val="28"/>
          <w:szCs w:val="28"/>
        </w:rPr>
        <w:t xml:space="preserve"> механизмов в зависимости от принадлежности студентов к той или иной культуре. В качестве респондентов выступили представители </w:t>
      </w:r>
      <w:proofErr w:type="spellStart"/>
      <w:r w:rsidRPr="00833225">
        <w:rPr>
          <w:color w:val="000000"/>
          <w:sz w:val="28"/>
          <w:szCs w:val="28"/>
        </w:rPr>
        <w:t>полихронной</w:t>
      </w:r>
      <w:proofErr w:type="spellEnd"/>
      <w:r w:rsidRPr="00833225">
        <w:rPr>
          <w:color w:val="000000"/>
          <w:sz w:val="28"/>
          <w:szCs w:val="28"/>
        </w:rPr>
        <w:t xml:space="preserve">, </w:t>
      </w:r>
      <w:proofErr w:type="spellStart"/>
      <w:r w:rsidRPr="00833225">
        <w:rPr>
          <w:color w:val="000000"/>
          <w:sz w:val="28"/>
          <w:szCs w:val="28"/>
        </w:rPr>
        <w:t>полиактивной</w:t>
      </w:r>
      <w:proofErr w:type="spellEnd"/>
      <w:r w:rsidRPr="00833225">
        <w:rPr>
          <w:color w:val="000000"/>
          <w:sz w:val="28"/>
          <w:szCs w:val="28"/>
        </w:rPr>
        <w:t xml:space="preserve"> и </w:t>
      </w:r>
      <w:proofErr w:type="spellStart"/>
      <w:r w:rsidRPr="00833225">
        <w:rPr>
          <w:color w:val="000000"/>
          <w:sz w:val="28"/>
          <w:szCs w:val="28"/>
        </w:rPr>
        <w:t>высококонтекстуальной</w:t>
      </w:r>
      <w:proofErr w:type="spellEnd"/>
      <w:r w:rsidRPr="00833225">
        <w:rPr>
          <w:color w:val="000000"/>
          <w:sz w:val="28"/>
          <w:szCs w:val="28"/>
        </w:rPr>
        <w:t xml:space="preserve"> культуры – студенты из Арабских стран (n=64) и представители </w:t>
      </w:r>
      <w:proofErr w:type="spellStart"/>
      <w:r w:rsidRPr="00833225">
        <w:rPr>
          <w:color w:val="000000"/>
          <w:sz w:val="28"/>
          <w:szCs w:val="28"/>
        </w:rPr>
        <w:t>низкоконтекстуальной</w:t>
      </w:r>
      <w:proofErr w:type="spellEnd"/>
      <w:r w:rsidRPr="00833225">
        <w:rPr>
          <w:color w:val="000000"/>
          <w:sz w:val="28"/>
          <w:szCs w:val="28"/>
        </w:rPr>
        <w:t xml:space="preserve"> и </w:t>
      </w:r>
      <w:proofErr w:type="spellStart"/>
      <w:r w:rsidRPr="00833225">
        <w:rPr>
          <w:color w:val="000000"/>
          <w:sz w:val="28"/>
          <w:szCs w:val="28"/>
        </w:rPr>
        <w:t>полихронной</w:t>
      </w:r>
      <w:proofErr w:type="spellEnd"/>
      <w:r w:rsidRPr="00833225">
        <w:rPr>
          <w:color w:val="000000"/>
          <w:sz w:val="28"/>
          <w:szCs w:val="28"/>
        </w:rPr>
        <w:t xml:space="preserve"> культуры – студенты из Индии (n=73), обучающиеся в России от года до трех лет. Арабские студенты легче адаптируются к учебному процессу, у них в большей степени развита групповая вовлеченность, они более эффективно распределяют время, а личностно-ситуативная </w:t>
      </w:r>
      <w:proofErr w:type="spellStart"/>
      <w:r w:rsidRPr="00833225">
        <w:rPr>
          <w:color w:val="000000"/>
          <w:sz w:val="28"/>
          <w:szCs w:val="28"/>
        </w:rPr>
        <w:t>антиципационная</w:t>
      </w:r>
      <w:proofErr w:type="spellEnd"/>
      <w:r w:rsidRPr="00833225">
        <w:rPr>
          <w:color w:val="000000"/>
          <w:sz w:val="28"/>
          <w:szCs w:val="28"/>
        </w:rPr>
        <w:t xml:space="preserve"> состоятельность развита в большей степени, чем у представителей </w:t>
      </w:r>
      <w:proofErr w:type="spellStart"/>
      <w:r w:rsidRPr="00833225">
        <w:rPr>
          <w:color w:val="000000"/>
          <w:sz w:val="28"/>
          <w:szCs w:val="28"/>
        </w:rPr>
        <w:t>полихронной</w:t>
      </w:r>
      <w:proofErr w:type="spellEnd"/>
      <w:r w:rsidRPr="00833225">
        <w:rPr>
          <w:color w:val="000000"/>
          <w:sz w:val="28"/>
          <w:szCs w:val="28"/>
        </w:rPr>
        <w:t xml:space="preserve"> и </w:t>
      </w:r>
      <w:proofErr w:type="spellStart"/>
      <w:r w:rsidRPr="00833225">
        <w:rPr>
          <w:color w:val="000000"/>
          <w:sz w:val="28"/>
          <w:szCs w:val="28"/>
        </w:rPr>
        <w:t>низкоконтекстуальной</w:t>
      </w:r>
      <w:proofErr w:type="spellEnd"/>
      <w:r w:rsidRPr="00833225">
        <w:rPr>
          <w:color w:val="000000"/>
          <w:sz w:val="28"/>
          <w:szCs w:val="28"/>
        </w:rPr>
        <w:t xml:space="preserve"> культуры (индусов). В свою очередь, индусы в большей степени стремятся к поиску социальной поддержки, и им крайне сложно прогнозировать трудные ситуации, связанные со временем и межличностным общением.</w:t>
      </w:r>
    </w:p>
    <w:sectPr w:rsidR="00AA5F67" w:rsidRPr="00F6659A" w:rsidSect="00CB0B3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1B"/>
    <w:rsid w:val="007667D6"/>
    <w:rsid w:val="00B9351B"/>
    <w:rsid w:val="00C70FBF"/>
    <w:rsid w:val="00CB0B38"/>
    <w:rsid w:val="00DA4410"/>
    <w:rsid w:val="00F6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8DB84D"/>
  <w14:defaultImageDpi w14:val="32767"/>
  <w15:chartTrackingRefBased/>
  <w15:docId w15:val="{C8F8F83F-82BF-D641-B878-044909A4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B9351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Макласова</dc:creator>
  <cp:keywords/>
  <dc:description/>
  <cp:lastModifiedBy>Катерина Макласова</cp:lastModifiedBy>
  <cp:revision>2</cp:revision>
  <dcterms:created xsi:type="dcterms:W3CDTF">2020-04-13T18:03:00Z</dcterms:created>
  <dcterms:modified xsi:type="dcterms:W3CDTF">2020-04-13T18:25:00Z</dcterms:modified>
</cp:coreProperties>
</file>